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left="40" w:right="2340"/>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Antalpha Platform Holding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Tether Global Investments Fund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Final Av. La Revolucion, Edif. Centro, Corporativo Presidente Plaza, Nivel 12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Salvador, H3,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4420 4621 1793</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Daniel Woodard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Schulte LLP, One Vanderbilt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547-5400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Global Investments Fund, S.I.C.A.F., S.A.</w:t>
      </w:r>
    </w:p>
    <w:p>
      <w:pPr>
        <w:sectPr>
          <w:pgSz w:w="11900" w:h="16857"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and 11: Includes 1,950,000 Class A Ordinary Shares, par value $0.001 per share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("Ordinary Shares") of Antalpha Platform Holding Company (the "Issuer") held by Tether Investments, S.A. de C.V.,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controlled subsidiary of Tether Global Investments Fund, S.I.C.A.F., S.A. Note in relation to Item 13: This percentage</w:t>
            </w:r>
          </w:p>
        </w:tc>
      </w:tr>
    </w:tbl>
    <w:p>
      <w:pPr>
        <w:jc w:val="both"/>
        <w:spacing w:after="0" w:line="190" w:lineRule="auto"/>
        <w:rPr>
          <w:sz w:val="20"/>
          <w:szCs w:val="20"/>
          <w:color w:val="auto"/>
        </w:rPr>
      </w:pPr>
      <w:r>
        <w:rPr>
          <w:rFonts w:ascii="Times New Roman" w:cs="Times New Roman" w:eastAsia="Times New Roman" w:hAnsi="Times New Roman"/>
          <w:sz w:val="36"/>
          <w:szCs w:val="36"/>
          <w:b w:val="1"/>
          <w:bCs w:val="1"/>
          <w:color w:val="auto"/>
          <w:vertAlign w:val="superscript"/>
        </w:rPr>
        <w:t>Reporting</w:t>
      </w:r>
      <w:r>
        <w:rPr>
          <w:rFonts w:ascii="Times New Roman" w:cs="Times New Roman" w:eastAsia="Times New Roman" w:hAnsi="Times New Roman"/>
          <w:sz w:val="21"/>
          <w:szCs w:val="21"/>
          <w:color w:val="auto"/>
        </w:rPr>
        <w:t xml:space="preserve"> is calculated based upon 23,677,500 Ordinary Shares outstanding upon completion of the Issuer's initial public </w:t>
      </w:r>
      <w:r>
        <w:rPr>
          <w:rFonts w:ascii="Times New Roman" w:cs="Times New Roman" w:eastAsia="Times New Roman" w:hAnsi="Times New Roman"/>
          <w:sz w:val="36"/>
          <w:szCs w:val="36"/>
          <w:b w:val="1"/>
          <w:bCs w:val="1"/>
          <w:color w:val="auto"/>
          <w:vertAlign w:val="superscript"/>
        </w:rPr>
        <w:t>Person:</w:t>
      </w:r>
      <w:r>
        <w:rPr>
          <w:rFonts w:ascii="Times New Roman" w:cs="Times New Roman" w:eastAsia="Times New Roman" w:hAnsi="Times New Roman"/>
          <w:sz w:val="21"/>
          <w:szCs w:val="21"/>
          <w:color w:val="auto"/>
        </w:rPr>
        <w:t xml:space="preserve"> offering, as reported in the Issuer's prospectus filed with the Securities and Exchange Commission pursuant to Rule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424(b)(4) on May 15,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11"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9"/>
          <w:szCs w:val="19"/>
          <w:b w:val="1"/>
          <w:bCs w:val="1"/>
          <w:color w:val="auto"/>
        </w:rPr>
        <w:t>Comment for</w:t>
      </w:r>
      <w:r>
        <w:rPr>
          <w:sz w:val="20"/>
          <w:szCs w:val="20"/>
          <w:color w:val="auto"/>
        </w:rPr>
        <w:tab/>
      </w:r>
      <w:r>
        <w:rPr>
          <w:rFonts w:ascii="Times New Roman" w:cs="Times New Roman" w:eastAsia="Times New Roman" w:hAnsi="Times New Roman"/>
          <w:sz w:val="22"/>
          <w:szCs w:val="22"/>
          <w:color w:val="auto"/>
        </w:rPr>
        <w:t>Note in relation to Item 13: This percentage is calculated based upon 23,677,500 Ordinary Shares outstanding</w:t>
      </w:r>
    </w:p>
    <w:tbl>
      <w:tblPr>
        <w:tblLayout w:type="fixed"/>
        <w:tblInd w:w="0" w:type="dxa"/>
        <w:tblCellMar>
          <w:top w:w="0" w:type="dxa"/>
          <w:left w:w="0" w:type="dxa"/>
          <w:bottom w:w="0" w:type="dxa"/>
          <w:right w:w="0" w:type="dxa"/>
        </w:tblCellMar>
      </w:tblPr>
      <w:tr>
        <w:trPr>
          <w:trHeight w:val="210"/>
        </w:trPr>
        <w:tc>
          <w:tcPr>
            <w:tcW w:w="1100" w:type="dxa"/>
            <w:vAlign w:val="bottom"/>
          </w:tcPr>
          <w:p>
            <w:pPr>
              <w:spacing w:after="0" w:line="210" w:lineRule="exact"/>
              <w:rPr>
                <w:sz w:val="20"/>
                <w:szCs w:val="20"/>
                <w:color w:val="auto"/>
              </w:rPr>
            </w:pPr>
            <w:r>
              <w:rPr>
                <w:rFonts w:ascii="Times New Roman" w:cs="Times New Roman" w:eastAsia="Times New Roman" w:hAnsi="Times New Roman"/>
                <w:sz w:val="19"/>
                <w:szCs w:val="19"/>
                <w:b w:val="1"/>
                <w:bCs w:val="1"/>
                <w:color w:val="auto"/>
              </w:rPr>
              <w:t>Type of</w:t>
            </w:r>
          </w:p>
        </w:tc>
        <w:tc>
          <w:tcPr>
            <w:tcW w:w="10140" w:type="dxa"/>
            <w:vAlign w:val="bottom"/>
          </w:tcPr>
          <w:p>
            <w:pPr>
              <w:ind w:left="260"/>
              <w:spacing w:after="0" w:line="210" w:lineRule="exact"/>
              <w:rPr>
                <w:sz w:val="20"/>
                <w:szCs w:val="20"/>
                <w:color w:val="auto"/>
              </w:rPr>
            </w:pPr>
            <w:r>
              <w:rPr>
                <w:rFonts w:ascii="Times New Roman" w:cs="Times New Roman" w:eastAsia="Times New Roman" w:hAnsi="Times New Roman"/>
                <w:sz w:val="22"/>
                <w:szCs w:val="22"/>
                <w:color w:val="auto"/>
              </w:rPr>
              <w:t>upon completion of the Issuer's initial public offering, as reported in the Issuer's prospectus filed with the</w:t>
            </w: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ind w:left="260"/>
              <w:spacing w:after="0" w:line="240" w:lineRule="exact"/>
              <w:rPr>
                <w:sz w:val="20"/>
                <w:szCs w:val="20"/>
                <w:color w:val="auto"/>
              </w:rPr>
            </w:pPr>
            <w:r>
              <w:rPr>
                <w:rFonts w:ascii="Times New Roman" w:cs="Times New Roman" w:eastAsia="Times New Roman" w:hAnsi="Times New Roman"/>
                <w:sz w:val="22"/>
                <w:szCs w:val="22"/>
                <w:color w:val="auto"/>
              </w:rPr>
              <w:t>Securities and Exchange Commission pursuant to Rule 424(b)(4) on May 15, 2025.</w:t>
            </w:r>
          </w:p>
        </w:tc>
      </w:tr>
      <w:tr>
        <w:trPr>
          <w:trHeight w:val="25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ITALY</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111"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and 11: Includes 1,950,000 Ordinary Shares held by Tether Investments, S.A. de C.V., 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controlled subsidiary of Tether Global Investments Fund, S.I.C.A.F., S.A. Mr. Devasini has a greater than 50% voting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interest in Tether Global Investments Fund, S.I.C.A.F., S.A. The reporting person disclaims beneficial ownership of</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these shares except to the extent of the reporting person's pecuniary interest. Note in relation to Item 13: This</w:t>
      </w:r>
    </w:p>
    <w:p>
      <w:pPr>
        <w:jc w:val="both"/>
        <w:ind w:left="920" w:hanging="919"/>
        <w:spacing w:after="0" w:line="193" w:lineRule="auto"/>
        <w:tabs>
          <w:tab w:leader="none" w:pos="900" w:val="left"/>
        </w:tabs>
        <w:rPr>
          <w:sz w:val="20"/>
          <w:szCs w:val="20"/>
          <w:color w:val="auto"/>
        </w:rPr>
      </w:pPr>
      <w:r>
        <w:rPr>
          <w:rFonts w:ascii="Times New Roman" w:cs="Times New Roman" w:eastAsia="Times New Roman" w:hAnsi="Times New Roman"/>
          <w:sz w:val="39"/>
          <w:szCs w:val="39"/>
          <w:b w:val="1"/>
          <w:bCs w:val="1"/>
          <w:color w:val="auto"/>
          <w:vertAlign w:val="superscript"/>
        </w:rPr>
        <w:t>Person:</w:t>
      </w:r>
      <w:r>
        <w:rPr>
          <w:sz w:val="20"/>
          <w:szCs w:val="20"/>
          <w:color w:val="auto"/>
        </w:rPr>
        <w:tab/>
      </w:r>
      <w:r>
        <w:rPr>
          <w:rFonts w:ascii="Times New Roman" w:cs="Times New Roman" w:eastAsia="Times New Roman" w:hAnsi="Times New Roman"/>
          <w:sz w:val="22"/>
          <w:szCs w:val="22"/>
          <w:color w:val="auto"/>
        </w:rPr>
        <w:t>percentage is calculated based upon 23,677,500 Ordinary Shares outstanding upon completion of the Issuer's initial public offering, as reported in the Issuer's prospectus filed with the Securities and Exchange Commission pursuant to Rule 424(b)(4) on May 15, 2025.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Antalpha Platform Holding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7 TEMASEK BOULEVARD, #31-02, SUNTEC TOWER ONE, Singapore, SINGAPORE , 038987.</w:t>
      </w:r>
    </w:p>
    <w:p>
      <w:pPr>
        <w:spacing w:after="0" w:line="20" w:lineRule="exact"/>
        <w:rPr>
          <w:sz w:val="20"/>
          <w:szCs w:val="20"/>
          <w:color w:val="auto"/>
        </w:rPr>
      </w:pPr>
    </w:p>
    <w:p>
      <w:pPr>
        <w:ind w:left="40" w:right="4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relates to the Class A Ordinary Shares, par value $0.001 per share ("Ordinary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Shares") of Antalpha Platform Holding Company, a company incorporated in the Cayman Islands (the "Issuer"). The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Ordinary Shares are listed on the Nasdaq Stock Market under the ticker symbol "ANTA".</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This statement is being filed by Tether Global Investments Fund, S.I.C.A.F., S.A., an El Salvador entity, Tether</w:t>
      </w:r>
    </w:p>
    <w:p>
      <w:pPr>
        <w:spacing w:after="0" w:line="14" w:lineRule="exact"/>
        <w:rPr>
          <w:sz w:val="20"/>
          <w:szCs w:val="20"/>
          <w:color w:val="auto"/>
        </w:rPr>
      </w:pPr>
    </w:p>
    <w:p>
      <w:pPr>
        <w:ind w:left="960" w:right="80" w:hanging="912"/>
        <w:spacing w:after="0" w:line="184" w:lineRule="auto"/>
        <w:tabs>
          <w:tab w:leader="none" w:pos="96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Investments, S.A. de C.V. , an El Salvador entity, and Giancarlo Devasini (collectively, the "Reporting Persons"). Certain information regarding Tether Global Investments Fund, S.I.C.A.F., S.A., Tether Investments, S.A. de C.V. and their respective executive officers and directors is set forth on Schedule A attached hereto.</w:t>
      </w:r>
    </w:p>
    <w:p>
      <w:pPr>
        <w:spacing w:after="0" w:line="18" w:lineRule="exact"/>
        <w:rPr>
          <w:rFonts w:ascii="Times New Roman" w:cs="Times New Roman" w:eastAsia="Times New Roman" w:hAnsi="Times New Roman"/>
          <w:sz w:val="42"/>
          <w:szCs w:val="42"/>
          <w:color w:val="auto"/>
          <w:vertAlign w:val="subscript"/>
        </w:rPr>
      </w:pPr>
    </w:p>
    <w:p>
      <w:pPr>
        <w:ind w:left="96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principal business address of the Reporting Persons is Final Av. La Revolucion, Colonia San Benito, Edif.</w:t>
      </w:r>
    </w:p>
    <w:p>
      <w:pPr>
        <w:spacing w:after="0" w:line="14" w:lineRule="exact"/>
        <w:rPr>
          <w:rFonts w:ascii="Times New Roman" w:cs="Times New Roman" w:eastAsia="Times New Roman" w:hAnsi="Times New Roman"/>
          <w:sz w:val="42"/>
          <w:szCs w:val="42"/>
          <w:color w:val="auto"/>
          <w:vertAlign w:val="subscript"/>
        </w:rPr>
      </w:pPr>
    </w:p>
    <w:p>
      <w:pPr>
        <w:ind w:left="960" w:right="600" w:hanging="912"/>
        <w:spacing w:after="0" w:line="237"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Centro, Corporativo Presidente Plaza, Nivel 12, Oficina 2, Distrito de San Salvador, Municipio de San Salvador Centro, Republica de El Salvador.</w:t>
      </w:r>
    </w:p>
    <w:p>
      <w:pPr>
        <w:spacing w:after="0" w:line="16" w:lineRule="exact"/>
        <w:rPr>
          <w:rFonts w:ascii="Times New Roman" w:cs="Times New Roman" w:eastAsia="Times New Roman" w:hAnsi="Times New Roman"/>
          <w:sz w:val="22"/>
          <w:szCs w:val="22"/>
          <w:color w:val="auto"/>
        </w:rPr>
      </w:pPr>
    </w:p>
    <w:p>
      <w:pPr>
        <w:jc w:val="both"/>
        <w:ind w:left="960" w:right="4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principal business of Tether Investments, S.A. de C.V. is primarily to make strategic investments in emerging technologies, such as artificial intelligence and peer-to-peer platforms, sustainable Bitcoin mining operations, and</w:t>
      </w:r>
    </w:p>
    <w:p>
      <w:pPr>
        <w:ind w:left="960" w:right="160" w:hanging="912"/>
        <w:spacing w:after="0" w:line="189" w:lineRule="auto"/>
        <w:tabs>
          <w:tab w:leader="none" w:pos="96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digital education initiatives. Tether Investments, S.A. de C.V. is also involved in funding and supporting projects that enhance financial inclusion and build resilient financial infrastructure worldwide. Tether Global Investments Fund, S.I.C.A.F., S.A. is the holding company for the Tether Group. The principal occupation of Giancarlo Devasini is to serve as a director of Tether Global Investments Fund, S.I.C.A.F., S.A.</w:t>
      </w:r>
    </w:p>
    <w:p>
      <w:pPr>
        <w:spacing w:after="0" w:line="14" w:lineRule="exact"/>
        <w:rPr>
          <w:rFonts w:ascii="Times New Roman" w:cs="Times New Roman" w:eastAsia="Times New Roman" w:hAnsi="Times New Roman"/>
          <w:sz w:val="43"/>
          <w:szCs w:val="43"/>
          <w:color w:val="auto"/>
          <w:vertAlign w:val="subscript"/>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ectPr>
          <w:pgSz w:w="11900" w:h="16838" w:orient="portrait"/>
          <w:cols w:equalWidth="0" w:num="1">
            <w:col w:w="11240"/>
          </w:cols>
          <w:pgMar w:left="320" w:top="102" w:right="339" w:bottom="0" w:gutter="0" w:footer="0" w:header="0"/>
        </w:sectPr>
      </w:pPr>
    </w:p>
    <w:bookmarkStart w:id="4" w:name="page5"/>
    <w:bookmarkEnd w:id="4"/>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right="4520" w:firstLine="8"/>
        <w:spacing w:after="0" w:line="281" w:lineRule="auto"/>
        <w:tabs>
          <w:tab w:leader="none" w:pos="9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respective cover page of each Reporting Person. Item 3. Source and Amount of Funds or Other Consideration</w:t>
      </w:r>
    </w:p>
    <w:p>
      <w:pPr>
        <w:spacing w:after="0" w:line="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used cash from working capital as consideration for the Ordinary Shares.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set forth in Item 3 and Item 6 of this Schedule 13D is incorporated by reference in its entirety into this Item 4. On May 13, 2025, the Reporting Persons acquired 1,950,000 Ordinary Shares offered in the Issuer's initial public offering at the initial offering price (the "IPO Allocation"). Subject to applicable securities laws and regulations, market conditions and other factors, the Reporting Persons may, from time to time, acquire additional Ordinary Shares, and/or retain and/or sell all or a portion of the Ordinary Shares beneficially owned by the Reporting Persons from time to time in open market transactions pursuant to Rule 144 under the Securities Act of 1933, as amended (the "Securities Act"), pursuant to registered secondary offerings or transactions exempt from the registration requirements of the Securities Act, in privately negotiated transactions or otherwise, including pursuant to Rule 10b5-1 plans, for liquidity, asset diversification, tax and estate planning and charitable giving purposes. The Reporting Persons may modify their current plans depending on the reporting persons' evaluation of various factors, including the Issuer's business prospects and financial position, other developments concerning the Issuer, the price level of the Ordinary Shares, conditions in the securities markets and general economic and industry conditions and other factors deemed relevant by the reporting persons. Furthermore, the Reporting Persons continue to reserve the right to formulate plans or make proposals, and take such action with respect thereto, including any or all of the items set forth in subsections (a) through (j) of Item 4 of Schedule 13D and any other actions, as they may determine.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Reporting Persons beneficially own an aggregate of 1,950,000 Ordinary Shares, representing 8.2% of the</w:t>
      </w:r>
    </w:p>
    <w:p>
      <w:pPr>
        <w:spacing w:after="0" w:line="14" w:lineRule="exact"/>
        <w:rPr>
          <w:sz w:val="20"/>
          <w:szCs w:val="20"/>
          <w:color w:val="auto"/>
        </w:rPr>
      </w:pPr>
    </w:p>
    <w:p>
      <w:pPr>
        <w:ind w:left="920" w:right="6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outstanding Ordinary Shares. This percentage is calculated based upon 23,677,500 Ordinary Shares outstanding upon completion of the Issuer's initial public offering, as reported in the Issuer's prospectus filed with the Securities and Exchange Commission pursuant to Rule 424(b)(4) on May 15, 2025.</w:t>
      </w:r>
    </w:p>
    <w:p>
      <w:pPr>
        <w:spacing w:after="0" w:line="18" w:lineRule="exact"/>
        <w:rPr>
          <w:rFonts w:ascii="Times New Roman" w:cs="Times New Roman" w:eastAsia="Times New Roman" w:hAnsi="Times New Roman"/>
          <w:sz w:val="42"/>
          <w:szCs w:val="42"/>
          <w:color w:val="auto"/>
          <w:vertAlign w:val="subscript"/>
        </w:rPr>
      </w:pPr>
    </w:p>
    <w:p>
      <w:pPr>
        <w:ind w:left="920" w:right="7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has shared voting and dispositive power with respect to the beneficially owned 1,950,000 Ordinary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IPO Allocation, the Reporting Persons have not purchased Ordinary Shares.</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N/A</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580"/>
        <w:spacing w:after="0" w:line="258" w:lineRule="auto"/>
        <w:rPr>
          <w:sz w:val="20"/>
          <w:szCs w:val="20"/>
          <w:color w:val="auto"/>
        </w:rPr>
      </w:pPr>
      <w:r>
        <w:rPr>
          <w:rFonts w:ascii="Times New Roman" w:cs="Times New Roman" w:eastAsia="Times New Roman" w:hAnsi="Times New Roman"/>
          <w:sz w:val="22"/>
          <w:szCs w:val="22"/>
          <w:color w:val="auto"/>
        </w:rPr>
        <w:t>Schedule A - Executive Officers and Directors Exhibit 1 - Agreement of filing persons relating to filing of joint statement per Rule 13d-1(k).</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Tether Global Investments Fund, S.I.C.A.F., S.A.</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Omar Rossi</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Omar Rossi, Sole Administrator</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Giancarlo Devasini, individually</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ectPr>
          <w:pgSz w:w="11900" w:h="16838" w:orient="portrait"/>
          <w:cols w:equalWidth="0" w:num="1">
            <w:col w:w="11140"/>
          </w:cols>
          <w:pgMar w:left="360" w:top="112" w:right="399" w:bottom="1440" w:gutter="0" w:footer="0" w:header="0"/>
        </w:sectPr>
      </w:pPr>
    </w:p>
    <w:bookmarkStart w:id="5" w:name="page6"/>
    <w:bookmarkEnd w:id="5"/>
    <w:p>
      <w:pPr>
        <w:ind w:left="10380"/>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country of citizenship, position and principal occupation of each executive officer and member of the board of directors of Tether Global Investments Fund, S.I.C.A.F., S.A. and Tether Investments, S.A. de C.V. Except as indicated below, none of the persons listed below has been convicted of a crime (other than traffic violations or similar misdemeanors) or been subject to proceedings pertaining to violations of securities laws within the past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Global Investments Fund, S.I.C.A.F., S.A.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tcBorders>
          </w:tcPr>
          <w:p>
            <w:pPr>
              <w:spacing w:after="0"/>
              <w:rPr>
                <w:sz w:val="23"/>
                <w:szCs w:val="23"/>
                <w:color w:val="auto"/>
              </w:rPr>
            </w:pPr>
          </w:p>
        </w:tc>
        <w:tc>
          <w:tcPr>
            <w:tcW w:w="328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Citizenship</w:t>
            </w:r>
          </w:p>
        </w:tc>
        <w:tc>
          <w:tcPr>
            <w:tcW w:w="80" w:type="dxa"/>
            <w:vAlign w:val="bottom"/>
            <w:tcBorders>
              <w:top w:val="single" w:sz="8" w:color="auto"/>
            </w:tcBorders>
          </w:tcPr>
          <w:p>
            <w:pPr>
              <w:spacing w:after="0"/>
              <w:rPr>
                <w:sz w:val="23"/>
                <w:szCs w:val="23"/>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Position and Principal</w:t>
            </w:r>
          </w:p>
        </w:tc>
        <w:tc>
          <w:tcPr>
            <w:tcW w:w="460" w:type="dxa"/>
            <w:vAlign w:val="bottom"/>
            <w:tcBorders>
              <w:top w:val="single" w:sz="8" w:color="auto"/>
              <w:right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3900" w:type="dxa"/>
            <w:vAlign w:val="bottom"/>
            <w:tcBorders>
              <w:top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280" w:type="dxa"/>
            <w:vAlign w:val="bottom"/>
            <w:tcBorders>
              <w:right w:val="single" w:sz="8" w:color="auto"/>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39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32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Occupation</w:t>
            </w:r>
          </w:p>
        </w:tc>
        <w:tc>
          <w:tcPr>
            <w:tcW w:w="460" w:type="dxa"/>
            <w:vAlign w:val="bottom"/>
            <w:tcBorders>
              <w:right w:val="single" w:sz="8" w:color="auto"/>
            </w:tcBorders>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600" w:type="dxa"/>
            <w:vAlign w:val="bottom"/>
            <w:tcBorders>
              <w:right w:val="single" w:sz="8" w:color="auto"/>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39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120" w:type="dxa"/>
            <w:vAlign w:val="bottom"/>
            <w:tcBorders>
              <w:left w:val="single" w:sz="8" w:color="auto"/>
            </w:tcBorders>
          </w:tcPr>
          <w:p>
            <w:pPr>
              <w:spacing w:after="0"/>
              <w:rPr>
                <w:sz w:val="23"/>
                <w:szCs w:val="23"/>
                <w:color w:val="auto"/>
              </w:rPr>
            </w:pPr>
          </w:p>
        </w:tc>
        <w:tc>
          <w:tcPr>
            <w:tcW w:w="3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Omar Rossi, citizen of Switzerland</w:t>
            </w:r>
          </w:p>
        </w:tc>
        <w:tc>
          <w:tcPr>
            <w:tcW w:w="80" w:type="dxa"/>
            <w:vAlign w:val="bottom"/>
          </w:tcPr>
          <w:p>
            <w:pPr>
              <w:spacing w:after="0"/>
              <w:rPr>
                <w:sz w:val="23"/>
                <w:szCs w:val="23"/>
                <w:color w:val="auto"/>
              </w:rPr>
            </w:pP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Sole Administrator</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Final Av. La Revolucion, Colonia San Benito, Edif.</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Centro, Corporativo Presidente Plaza, Nivel 12,</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Oficina 2, Distrito de San Salvador, Municipio de</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San Salvador Centro, Republica de El Salvador</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Investments, S.A. de C.V.:</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tcBorders>
          </w:tcPr>
          <w:p>
            <w:pPr>
              <w:spacing w:after="0"/>
              <w:rPr>
                <w:sz w:val="23"/>
                <w:szCs w:val="23"/>
                <w:color w:val="auto"/>
              </w:rPr>
            </w:pPr>
          </w:p>
        </w:tc>
        <w:tc>
          <w:tcPr>
            <w:tcW w:w="328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Citizenship</w:t>
            </w:r>
          </w:p>
        </w:tc>
        <w:tc>
          <w:tcPr>
            <w:tcW w:w="80" w:type="dxa"/>
            <w:vAlign w:val="bottom"/>
            <w:tcBorders>
              <w:top w:val="single" w:sz="8" w:color="auto"/>
            </w:tcBorders>
          </w:tcPr>
          <w:p>
            <w:pPr>
              <w:spacing w:after="0"/>
              <w:rPr>
                <w:sz w:val="23"/>
                <w:szCs w:val="23"/>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Position and Principal</w:t>
            </w:r>
          </w:p>
        </w:tc>
        <w:tc>
          <w:tcPr>
            <w:tcW w:w="460" w:type="dxa"/>
            <w:vAlign w:val="bottom"/>
            <w:tcBorders>
              <w:top w:val="single" w:sz="8" w:color="auto"/>
              <w:right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3900" w:type="dxa"/>
            <w:vAlign w:val="bottom"/>
            <w:tcBorders>
              <w:top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280" w:type="dxa"/>
            <w:vAlign w:val="bottom"/>
            <w:tcBorders>
              <w:right w:val="single" w:sz="8" w:color="auto"/>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39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32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Occupation</w:t>
            </w:r>
          </w:p>
        </w:tc>
        <w:tc>
          <w:tcPr>
            <w:tcW w:w="460" w:type="dxa"/>
            <w:vAlign w:val="bottom"/>
            <w:tcBorders>
              <w:right w:val="single" w:sz="8" w:color="auto"/>
            </w:tcBorders>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600" w:type="dxa"/>
            <w:vAlign w:val="bottom"/>
            <w:tcBorders>
              <w:right w:val="single" w:sz="8" w:color="auto"/>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39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120" w:type="dxa"/>
            <w:vAlign w:val="bottom"/>
            <w:tcBorders>
              <w:left w:val="single" w:sz="8" w:color="auto"/>
            </w:tcBorders>
          </w:tcPr>
          <w:p>
            <w:pPr>
              <w:spacing w:after="0"/>
              <w:rPr>
                <w:sz w:val="23"/>
                <w:szCs w:val="23"/>
                <w:color w:val="auto"/>
              </w:rPr>
            </w:pPr>
          </w:p>
        </w:tc>
        <w:tc>
          <w:tcPr>
            <w:tcW w:w="3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 citizen of Italy</w:t>
            </w:r>
          </w:p>
        </w:tc>
        <w:tc>
          <w:tcPr>
            <w:tcW w:w="80" w:type="dxa"/>
            <w:vAlign w:val="bottom"/>
          </w:tcPr>
          <w:p>
            <w:pPr>
              <w:spacing w:after="0"/>
              <w:rPr>
                <w:sz w:val="23"/>
                <w:szCs w:val="23"/>
                <w:color w:val="auto"/>
              </w:rPr>
            </w:pP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Sole Administrator</w:t>
            </w:r>
          </w:p>
        </w:tc>
        <w:tc>
          <w:tcPr>
            <w:tcW w:w="16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1,950,000 (1)</w:t>
            </w: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Final Av. La Revolucion, Colonia San Benito, Edif.</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Centro, Corporativo Presidente Plaza, Nivel 12,</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Oficina 2, Distrito de San Salvador, Municipio de</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San Salvador Centro, Republica de El Salvador</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120" w:type="dxa"/>
            <w:vAlign w:val="bottom"/>
            <w:tcBorders>
              <w:left w:val="single" w:sz="8" w:color="auto"/>
            </w:tcBorders>
          </w:tcPr>
          <w:p>
            <w:pPr>
              <w:spacing w:after="0"/>
              <w:rPr>
                <w:sz w:val="23"/>
                <w:szCs w:val="23"/>
                <w:color w:val="auto"/>
              </w:rPr>
            </w:pPr>
          </w:p>
        </w:tc>
        <w:tc>
          <w:tcPr>
            <w:tcW w:w="3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 citizen of Italy</w:t>
            </w:r>
          </w:p>
        </w:tc>
        <w:tc>
          <w:tcPr>
            <w:tcW w:w="80" w:type="dxa"/>
            <w:vAlign w:val="bottom"/>
          </w:tcPr>
          <w:p>
            <w:pPr>
              <w:spacing w:after="0"/>
              <w:rPr>
                <w:sz w:val="23"/>
                <w:szCs w:val="23"/>
                <w:color w:val="auto"/>
              </w:rPr>
            </w:pP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Alternate Administrator</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Final Av. La Revolucion, Colonia San Benito, Edif.</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Centro, Corporativo Presidente Plaza, Nivel 12,</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Oficina 2, Distrito de San Salvador, Municipio de</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San Salvador Centro, Republica de El Salvador</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1,950,000 Class A Ordinary Shares, par value $0.001 per share, of Antalpha Platform Holding Company held by Tether Investments, S.A. de C.V., a controlled subsidiary of Tether Global Investments Fund, S.I.C.A.F., S.A.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U.S. Commodity Futures Trading Commission (CFTC) instituted and settled regulatory proceedings against Tether Global Investments Fund, S.I.C.A.F., S.A. (then Tether Holdings Limited), Tether Limited, Tether Operations Limited, and Tether International Limited (collectively, “Tether”) by way of an order accepting Tether’s payment of a civil monetary penalty of $41 million without admitting or denying any of the CFTC’s findings or conclusions. The order settled CFTC allegations that, from June 2016 to February 2019, Tether made untrue or misleading statements and omissions of material fact or omitted to state material facts necessary to make statements made not true or misleading in connection with, among other things, whether USDT was fully backed by U.S. Dollars held in bank accounts in Tether’s name.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Office of the Attorney General of the State of New York (NYAG) entered into an agreement with Tether and several Bitfinex (a group of companies with which Tether is affiliated) companies to settle a 2019 proceeding brought by NYAG seeking an injunction related to, among other things, the transfer of certain funds by and among Bitfinex and Tether. Without admitting or denying NYAG’s findings, Bitfinex and Tether agreed to settle the NYAG proceeding by paying $18.5 million in penalties to the State of New York. The agreement further required Bitfinex and Tether to discontinue any trading activity with New York persons or entities and to submit to mandatory reporting on certain business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each of the persons named below agrees to the joint filing of this Schedule 13D, including further amendments thereto, with respect to the Class A Ordinary Shares, par value $0.001 per share, of Antalpha Platform Holding Company held by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persons named below have executed this Joint Filing Agreement as of the date set forth below.</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April 20,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TETHER GLOBAL INVESTMENTS FUND, S.I.C.A.F., S.A.</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Omar Rossi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Omar Rossi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Sole Administrator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INVESTMENTS, S.A. DE C.V.</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Giancarlo Devasini,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2026-04-20T06:52:00Z</dcterms:created>
  <dcterms:modified xsi:type="dcterms:W3CDTF">2026-04-20T06:52:00Z</dcterms:modified>
</cp:coreProperties>
</file>